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5B201" w14:textId="77777777" w:rsidR="00176C2C" w:rsidRDefault="007C2AA3" w:rsidP="007C2AA3">
      <w:pPr>
        <w:spacing w:after="0" w:line="276" w:lineRule="auto"/>
        <w:ind w:left="-142" w:right="-143" w:hanging="142"/>
        <w:jc w:val="center"/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</w:pPr>
      <w:r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 xml:space="preserve">Nasce </w:t>
      </w:r>
      <w:proofErr w:type="spellStart"/>
      <w:r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>Finergis</w:t>
      </w:r>
      <w:proofErr w:type="spellEnd"/>
      <w:r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>, il primo Confidi del Nord Italia per supportare l'accesso al credito delle imprese</w:t>
      </w:r>
    </w:p>
    <w:p w14:paraId="771AB7B0" w14:textId="77777777" w:rsidR="00DD7E8C" w:rsidRDefault="00DD7E8C" w:rsidP="00DD7E8C">
      <w:pPr>
        <w:spacing w:after="0" w:line="276" w:lineRule="auto"/>
        <w:ind w:left="-284"/>
        <w:jc w:val="center"/>
        <w:rPr>
          <w:rStyle w:val="Enfasicorsivo"/>
          <w:rFonts w:cstheme="minorHAnsi"/>
          <w:b/>
          <w:bCs/>
          <w:i w:val="0"/>
          <w:iCs w:val="0"/>
          <w:sz w:val="12"/>
          <w:szCs w:val="12"/>
          <w:bdr w:val="none" w:sz="0" w:space="0" w:color="auto" w:frame="1"/>
          <w:shd w:val="clear" w:color="auto" w:fill="FFFFFF"/>
        </w:rPr>
      </w:pPr>
    </w:p>
    <w:p w14:paraId="5705C748" w14:textId="77777777" w:rsidR="00CD1990" w:rsidRDefault="00AB43B9" w:rsidP="000C2C1A">
      <w:pPr>
        <w:spacing w:after="0" w:line="276" w:lineRule="auto"/>
        <w:ind w:left="-142"/>
        <w:jc w:val="center"/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>Nato dall'unione strategica di Sviluppo A</w:t>
      </w:r>
      <w:r w:rsidR="007C2AA3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 xml:space="preserve">rtigiano e </w:t>
      </w:r>
      <w:proofErr w:type="spellStart"/>
      <w:r w:rsidR="007C2AA3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>Neafidi</w:t>
      </w:r>
      <w:proofErr w:type="spellEnd"/>
      <w:r w:rsidR="007C2AA3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 xml:space="preserve">, sarà operativo dal 1° gennaio 2025 e </w:t>
      </w:r>
      <w:r w:rsidR="007C2AA3">
        <w:rPr>
          <w:rStyle w:val="Enfasicorsivo"/>
          <w:rFonts w:cstheme="minorHAnsi"/>
          <w:iCs w:val="0"/>
          <w:sz w:val="28"/>
          <w:szCs w:val="28"/>
          <w:bdr w:val="none" w:sz="0" w:space="0" w:color="auto" w:frame="1"/>
          <w:shd w:val="clear" w:color="auto" w:fill="FFFFFF"/>
        </w:rPr>
        <w:t xml:space="preserve">vanterà </w:t>
      </w:r>
      <w:r w:rsidR="007C2AA3" w:rsidRPr="007C2AA3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>un attivo di 170 milioni, un patrimonio di 100 milion</w:t>
      </w:r>
      <w:r w:rsidR="007C2AA3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 xml:space="preserve">i, uno stock di garanzie di 400 </w:t>
      </w:r>
      <w:r w:rsidR="007C2AA3" w:rsidRPr="007C2AA3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>milioni su 600 milioni di finanziamenti e 48.000 soci</w:t>
      </w:r>
      <w:r w:rsidR="00CB4E4E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br/>
      </w:r>
    </w:p>
    <w:p w14:paraId="13BB082D" w14:textId="376B907D" w:rsidR="0076185D" w:rsidRDefault="00E8138E" w:rsidP="003C0A9F">
      <w:pPr>
        <w:shd w:val="clear" w:color="auto" w:fill="FFFFFF"/>
        <w:spacing w:after="0" w:line="240" w:lineRule="auto"/>
        <w:jc w:val="both"/>
      </w:pPr>
      <w:r w:rsidRPr="00AB43B9">
        <w:rPr>
          <w:b/>
        </w:rPr>
        <w:t>Operativo dal 1° gennaio 2025</w:t>
      </w:r>
      <w:r w:rsidR="00AB43B9">
        <w:rPr>
          <w:b/>
        </w:rPr>
        <w:t xml:space="preserve"> </w:t>
      </w:r>
      <w:r w:rsidR="00AB43B9" w:rsidRPr="00AB43B9">
        <w:t xml:space="preserve">e nato dall'unione strategica di Sviluppo Artigiano e </w:t>
      </w:r>
      <w:proofErr w:type="spellStart"/>
      <w:r w:rsidR="00AB43B9" w:rsidRPr="00AB43B9">
        <w:t>Neafidi</w:t>
      </w:r>
      <w:proofErr w:type="spellEnd"/>
      <w:r w:rsidR="00AB43B9">
        <w:t>,</w:t>
      </w:r>
      <w:r w:rsidRPr="00E8138E">
        <w:t> </w:t>
      </w:r>
      <w:proofErr w:type="spellStart"/>
      <w:r w:rsidR="00AB43B9" w:rsidRPr="00AB43B9">
        <w:rPr>
          <w:b/>
        </w:rPr>
        <w:t>Finergis</w:t>
      </w:r>
      <w:proofErr w:type="spellEnd"/>
      <w:r w:rsidRPr="00E8138E">
        <w:t xml:space="preserve"> </w:t>
      </w:r>
      <w:r w:rsidRPr="00AB43B9">
        <w:rPr>
          <w:b/>
        </w:rPr>
        <w:t>sarà il primo Confidi</w:t>
      </w:r>
      <w:r w:rsidR="00AB43B9" w:rsidRPr="00AB43B9">
        <w:rPr>
          <w:b/>
        </w:rPr>
        <w:t xml:space="preserve"> </w:t>
      </w:r>
      <w:r w:rsidRPr="00AB43B9">
        <w:rPr>
          <w:b/>
        </w:rPr>
        <w:t>vigilato da Banca d’Italia del Nord</w:t>
      </w:r>
      <w:r w:rsidRPr="00E8138E">
        <w:t xml:space="preserve"> e fra i primi a livello nazionale. </w:t>
      </w:r>
    </w:p>
    <w:p w14:paraId="093552DC" w14:textId="77777777" w:rsidR="0076185D" w:rsidRDefault="0076185D" w:rsidP="003C0A9F">
      <w:pPr>
        <w:shd w:val="clear" w:color="auto" w:fill="FFFFFF"/>
        <w:spacing w:after="0" w:line="240" w:lineRule="auto"/>
        <w:jc w:val="both"/>
      </w:pPr>
    </w:p>
    <w:p w14:paraId="5DB8715A" w14:textId="77777777" w:rsidR="00AB43B9" w:rsidRDefault="00E8138E" w:rsidP="003C0A9F">
      <w:pPr>
        <w:shd w:val="clear" w:color="auto" w:fill="FFFFFF"/>
        <w:spacing w:after="0" w:line="240" w:lineRule="auto"/>
        <w:jc w:val="both"/>
      </w:pPr>
      <w:r w:rsidRPr="00E8138E">
        <w:t xml:space="preserve">Con </w:t>
      </w:r>
      <w:r w:rsidRPr="00AB43B9">
        <w:rPr>
          <w:b/>
        </w:rPr>
        <w:t>un attivo di 170 milioni</w:t>
      </w:r>
      <w:r w:rsidRPr="00E8138E">
        <w:t xml:space="preserve">, un </w:t>
      </w:r>
      <w:r w:rsidRPr="00AB43B9">
        <w:rPr>
          <w:b/>
        </w:rPr>
        <w:t>patrimonio di 100 milion</w:t>
      </w:r>
      <w:r w:rsidR="00AB43B9" w:rsidRPr="00AB43B9">
        <w:rPr>
          <w:b/>
        </w:rPr>
        <w:t>i</w:t>
      </w:r>
      <w:r w:rsidR="00AB43B9">
        <w:t xml:space="preserve">, uno </w:t>
      </w:r>
      <w:r w:rsidR="00AB43B9" w:rsidRPr="00AB43B9">
        <w:rPr>
          <w:b/>
        </w:rPr>
        <w:t xml:space="preserve">stock di garanzie di 400 </w:t>
      </w:r>
      <w:r w:rsidRPr="00AB43B9">
        <w:rPr>
          <w:b/>
        </w:rPr>
        <w:t>milioni su 600 milioni di finanziamenti e 48.000 soci</w:t>
      </w:r>
      <w:r w:rsidRPr="00E8138E">
        <w:t xml:space="preserve">, </w:t>
      </w:r>
      <w:proofErr w:type="spellStart"/>
      <w:r w:rsidRPr="00E8138E">
        <w:t>Finergis</w:t>
      </w:r>
      <w:proofErr w:type="spellEnd"/>
      <w:r w:rsidRPr="00E8138E">
        <w:t xml:space="preserve"> si colloca nel panorama degli intermediari finanziari come </w:t>
      </w:r>
      <w:r w:rsidRPr="00AB43B9">
        <w:rPr>
          <w:b/>
        </w:rPr>
        <w:t>uno dei principali operatori grazie ad una struttura di 60 dipendenti</w:t>
      </w:r>
      <w:r w:rsidRPr="00E8138E">
        <w:t>, una rete commerciale interna ed esterna format</w:t>
      </w:r>
      <w:r w:rsidR="00AB43B9">
        <w:t xml:space="preserve">a da professionisti dedicati al </w:t>
      </w:r>
      <w:r w:rsidRPr="00E8138E">
        <w:t xml:space="preserve">dialogo con le imprese e </w:t>
      </w:r>
      <w:r w:rsidRPr="00AB43B9">
        <w:rPr>
          <w:b/>
        </w:rPr>
        <w:t>oltre 30 sedi distribuite in Ve</w:t>
      </w:r>
      <w:r w:rsidR="00AB43B9">
        <w:rPr>
          <w:b/>
        </w:rPr>
        <w:t xml:space="preserve">neto, Lombardia, Friuli </w:t>
      </w:r>
      <w:r w:rsidR="00AB43B9" w:rsidRPr="00AB43B9">
        <w:rPr>
          <w:b/>
        </w:rPr>
        <w:t xml:space="preserve">Venezia </w:t>
      </w:r>
      <w:r w:rsidRPr="00AB43B9">
        <w:rPr>
          <w:b/>
        </w:rPr>
        <w:t>Giulia, Piemonte ed Emilia-Romagna</w:t>
      </w:r>
      <w:r w:rsidRPr="00E8138E">
        <w:t>.</w:t>
      </w:r>
    </w:p>
    <w:p w14:paraId="07E162B7" w14:textId="77777777" w:rsidR="00AB43B9" w:rsidRDefault="00AB43B9" w:rsidP="003C0A9F">
      <w:pPr>
        <w:shd w:val="clear" w:color="auto" w:fill="FFFFFF"/>
        <w:spacing w:after="0" w:line="240" w:lineRule="auto"/>
        <w:jc w:val="both"/>
      </w:pPr>
    </w:p>
    <w:p w14:paraId="6C94B1DD" w14:textId="77777777" w:rsidR="00E8138E" w:rsidRDefault="00E8138E" w:rsidP="003C0A9F">
      <w:pPr>
        <w:shd w:val="clear" w:color="auto" w:fill="FFFFFF"/>
        <w:spacing w:after="0" w:line="240" w:lineRule="auto"/>
        <w:jc w:val="both"/>
      </w:pPr>
      <w:r w:rsidRPr="007C2AA3">
        <w:t xml:space="preserve">Gli Indici di solidità patrimoniale e di solvibilità (CET11 </w:t>
      </w:r>
      <w:r w:rsidR="00AB43B9">
        <w:t xml:space="preserve">e TCR stimato superiore al 45%) </w:t>
      </w:r>
      <w:r w:rsidRPr="007C2AA3">
        <w:t xml:space="preserve">pongono </w:t>
      </w:r>
      <w:proofErr w:type="spellStart"/>
      <w:r w:rsidRPr="00AB43B9">
        <w:rPr>
          <w:b/>
        </w:rPr>
        <w:t>Finergis</w:t>
      </w:r>
      <w:proofErr w:type="spellEnd"/>
      <w:r w:rsidRPr="007C2AA3">
        <w:t xml:space="preserve"> quale partner solido ed affidabile per le im</w:t>
      </w:r>
      <w:r w:rsidR="00AB43B9">
        <w:t xml:space="preserve">prese associate, per il sistema </w:t>
      </w:r>
      <w:r w:rsidRPr="007C2AA3">
        <w:t>finanziario e per le istituzioni pubbliche.</w:t>
      </w:r>
    </w:p>
    <w:p w14:paraId="1F784BA5" w14:textId="77777777" w:rsidR="00AB43B9" w:rsidRDefault="00AB43B9" w:rsidP="003C0A9F">
      <w:pPr>
        <w:shd w:val="clear" w:color="auto" w:fill="FFFFFF"/>
        <w:spacing w:after="0" w:line="240" w:lineRule="auto"/>
        <w:jc w:val="both"/>
      </w:pPr>
    </w:p>
    <w:p w14:paraId="64FAC332" w14:textId="77777777" w:rsidR="00AB43B9" w:rsidRPr="00AB43B9" w:rsidRDefault="00AB43B9" w:rsidP="003C0A9F">
      <w:pPr>
        <w:shd w:val="clear" w:color="auto" w:fill="FFFFFF"/>
        <w:spacing w:after="0" w:line="240" w:lineRule="auto"/>
        <w:jc w:val="both"/>
      </w:pPr>
      <w:r w:rsidRPr="00AB43B9">
        <w:t xml:space="preserve">Estremamente soddisfatto l’unanime e concorde commento dei </w:t>
      </w:r>
      <w:r w:rsidRPr="00AB43B9">
        <w:rPr>
          <w:b/>
        </w:rPr>
        <w:t>Presidenti di CNA Lombardia</w:t>
      </w:r>
      <w:r w:rsidRPr="00AB43B9">
        <w:t xml:space="preserve"> e di </w:t>
      </w:r>
      <w:r w:rsidRPr="00AB43B9">
        <w:rPr>
          <w:b/>
        </w:rPr>
        <w:t>CNA Veneto</w:t>
      </w:r>
      <w:r w:rsidRPr="00AB43B9">
        <w:t xml:space="preserve">, </w:t>
      </w:r>
      <w:r w:rsidRPr="00AB43B9">
        <w:rPr>
          <w:b/>
        </w:rPr>
        <w:t>Giovanni Bozzini</w:t>
      </w:r>
      <w:r w:rsidRPr="00AB43B9">
        <w:t xml:space="preserve"> e </w:t>
      </w:r>
      <w:r w:rsidRPr="00AB43B9">
        <w:rPr>
          <w:b/>
        </w:rPr>
        <w:t>Moreno De Col</w:t>
      </w:r>
      <w:r w:rsidRPr="00AB43B9">
        <w:t xml:space="preserve">, per i quali </w:t>
      </w:r>
      <w:r w:rsidRPr="00AB43B9">
        <w:rPr>
          <w:i/>
        </w:rPr>
        <w:t>“questo nuovo soggetto della garanzia si inserisce nella filiera dell’accesso al credito come una grande opportunità per potenziar</w:t>
      </w:r>
      <w:r w:rsidR="00D35717">
        <w:rPr>
          <w:i/>
        </w:rPr>
        <w:t xml:space="preserve">e la capacità del sistema delle piccole </w:t>
      </w:r>
      <w:r w:rsidRPr="00AB43B9">
        <w:rPr>
          <w:i/>
        </w:rPr>
        <w:t>imprese di dialogare con il mondo bancario e di acquisire il supporto finanziario necessario alle sfide che ci attendono: competizione internazionale, sostenibili</w:t>
      </w:r>
      <w:r>
        <w:rPr>
          <w:i/>
        </w:rPr>
        <w:t>tà, rilancio della manifattura M</w:t>
      </w:r>
      <w:r w:rsidRPr="00AB43B9">
        <w:rPr>
          <w:i/>
        </w:rPr>
        <w:t xml:space="preserve">ade in </w:t>
      </w:r>
      <w:proofErr w:type="spellStart"/>
      <w:r w:rsidRPr="00AB43B9">
        <w:rPr>
          <w:i/>
        </w:rPr>
        <w:t>Italy</w:t>
      </w:r>
      <w:proofErr w:type="spellEnd"/>
      <w:r w:rsidRPr="00AB43B9">
        <w:rPr>
          <w:i/>
        </w:rPr>
        <w:t xml:space="preserve"> in Europa e non solo. Nasce un Confidi nuovo che darà impulso alla crescita nella parte più produttiva d’Italia”</w:t>
      </w:r>
      <w:r>
        <w:rPr>
          <w:i/>
        </w:rPr>
        <w:t>.</w:t>
      </w:r>
    </w:p>
    <w:p w14:paraId="031F2F3B" w14:textId="77777777" w:rsidR="003C0A9F" w:rsidRDefault="00AB43B9" w:rsidP="003C0A9F">
      <w:pPr>
        <w:shd w:val="clear" w:color="auto" w:fill="FFFFFF"/>
        <w:spacing w:after="0" w:line="240" w:lineRule="auto"/>
        <w:jc w:val="both"/>
      </w:pPr>
      <w:r w:rsidRPr="007C2AA3">
        <w:rPr>
          <w:rFonts w:ascii="Calibri" w:eastAsia="Times New Roman" w:hAnsi="Calibri" w:cs="Times New Roman"/>
          <w:b/>
          <w:bCs/>
          <w:color w:val="000000"/>
          <w:lang w:eastAsia="it-IT"/>
        </w:rPr>
        <w:br/>
      </w:r>
      <w:r w:rsidRPr="00AB43B9">
        <w:rPr>
          <w:i/>
        </w:rPr>
        <w:t>“Con questa operazione vogliamo essere sempre più vicini</w:t>
      </w:r>
      <w:r>
        <w:rPr>
          <w:i/>
        </w:rPr>
        <w:t xml:space="preserve"> e partner utili al mondo delle imprese offrendo </w:t>
      </w:r>
      <w:r w:rsidRPr="00AB43B9">
        <w:rPr>
          <w:i/>
        </w:rPr>
        <w:t>prodotti nuovi, rafforzando il presidio ter</w:t>
      </w:r>
      <w:r>
        <w:rPr>
          <w:i/>
        </w:rPr>
        <w:t xml:space="preserve">ritoriale e garantendo maggiore </w:t>
      </w:r>
      <w:r w:rsidRPr="00AB43B9">
        <w:rPr>
          <w:i/>
        </w:rPr>
        <w:t>fo</w:t>
      </w:r>
      <w:r>
        <w:rPr>
          <w:i/>
        </w:rPr>
        <w:t xml:space="preserve">rza contrattuale ai nostri soci </w:t>
      </w:r>
      <w:r w:rsidRPr="00AB43B9">
        <w:rPr>
          <w:i/>
        </w:rPr>
        <w:t>presenti e futuri per ottenere i</w:t>
      </w:r>
      <w:r>
        <w:rPr>
          <w:i/>
        </w:rPr>
        <w:t xml:space="preserve"> flussi finanziari necessari ad </w:t>
      </w:r>
      <w:r w:rsidRPr="00AB43B9">
        <w:rPr>
          <w:i/>
        </w:rPr>
        <w:t>affrontare le sfide di un mercato globale”,</w:t>
      </w:r>
      <w:r>
        <w:rPr>
          <w:i/>
        </w:rPr>
        <w:t xml:space="preserve"> </w:t>
      </w:r>
      <w:r w:rsidRPr="00AB43B9">
        <w:t xml:space="preserve">sottolinea </w:t>
      </w:r>
      <w:r w:rsidRPr="00AB43B9">
        <w:rPr>
          <w:b/>
        </w:rPr>
        <w:t>Mario Borin</w:t>
      </w:r>
      <w:r>
        <w:t xml:space="preserve">, </w:t>
      </w:r>
      <w:r w:rsidRPr="00AB43B9">
        <w:rPr>
          <w:b/>
        </w:rPr>
        <w:t>Presidente di Sviluppo Artigiano</w:t>
      </w:r>
      <w:r w:rsidRPr="00AB43B9">
        <w:t>.</w:t>
      </w:r>
    </w:p>
    <w:p w14:paraId="5E63AAA5" w14:textId="77777777" w:rsidR="00AB43B9" w:rsidRPr="003C0A9F" w:rsidRDefault="00AB43B9" w:rsidP="003C0A9F">
      <w:pPr>
        <w:shd w:val="clear" w:color="auto" w:fill="FFFFFF"/>
        <w:spacing w:after="0" w:line="240" w:lineRule="auto"/>
        <w:jc w:val="both"/>
      </w:pPr>
    </w:p>
    <w:p w14:paraId="30966F56" w14:textId="77777777" w:rsidR="00AB43B9" w:rsidRDefault="00AB43B9" w:rsidP="003C0A9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it-IT"/>
        </w:rPr>
      </w:pPr>
      <w:r w:rsidRPr="007C2AA3">
        <w:rPr>
          <w:rFonts w:ascii="Calibri" w:eastAsia="Times New Roman" w:hAnsi="Calibri" w:cs="Times New Roman"/>
          <w:color w:val="000000"/>
          <w:lang w:eastAsia="it-IT"/>
        </w:rPr>
        <w:t xml:space="preserve">L’operazione rientra nei </w:t>
      </w:r>
      <w:r w:rsidRPr="00AB43B9">
        <w:rPr>
          <w:rFonts w:ascii="Calibri" w:eastAsia="Times New Roman" w:hAnsi="Calibri" w:cs="Times New Roman"/>
          <w:b/>
          <w:color w:val="000000"/>
          <w:lang w:eastAsia="it-IT"/>
        </w:rPr>
        <w:t>piani strategici dei due Confidi</w:t>
      </w:r>
      <w:r>
        <w:rPr>
          <w:rFonts w:ascii="Calibri" w:eastAsia="Times New Roman" w:hAnsi="Calibri" w:cs="Times New Roman"/>
          <w:color w:val="000000"/>
          <w:lang w:eastAsia="it-IT"/>
        </w:rPr>
        <w:t xml:space="preserve"> e punta ad ampliare la </w:t>
      </w:r>
      <w:r w:rsidRPr="007C2AA3">
        <w:rPr>
          <w:rFonts w:ascii="Calibri" w:eastAsia="Times New Roman" w:hAnsi="Calibri" w:cs="Times New Roman"/>
          <w:color w:val="000000"/>
          <w:lang w:eastAsia="it-IT"/>
        </w:rPr>
        <w:t xml:space="preserve">diversificazione territoriale e dimensionale delle aziende </w:t>
      </w:r>
      <w:r>
        <w:rPr>
          <w:rFonts w:ascii="Calibri" w:eastAsia="Times New Roman" w:hAnsi="Calibri" w:cs="Times New Roman"/>
          <w:color w:val="000000"/>
          <w:lang w:eastAsia="it-IT"/>
        </w:rPr>
        <w:t xml:space="preserve">target, grazie ad un modello di </w:t>
      </w:r>
      <w:r w:rsidRPr="007C2AA3">
        <w:rPr>
          <w:rFonts w:ascii="Calibri" w:eastAsia="Times New Roman" w:hAnsi="Calibri" w:cs="Times New Roman"/>
          <w:color w:val="000000"/>
          <w:lang w:eastAsia="it-IT"/>
        </w:rPr>
        <w:t>business che vuole</w:t>
      </w:r>
      <w:r w:rsidR="003C0A9F">
        <w:rPr>
          <w:rFonts w:ascii="Calibri" w:eastAsia="Times New Roman" w:hAnsi="Calibri" w:cs="Times New Roman"/>
          <w:color w:val="000000"/>
          <w:lang w:eastAsia="it-IT"/>
        </w:rPr>
        <w:t xml:space="preserve"> valorizzare i pilastri </w:t>
      </w:r>
      <w:r w:rsidRPr="007C2AA3">
        <w:rPr>
          <w:rFonts w:ascii="Calibri" w:eastAsia="Times New Roman" w:hAnsi="Calibri" w:cs="Times New Roman"/>
          <w:color w:val="000000"/>
          <w:lang w:eastAsia="it-IT"/>
        </w:rPr>
        <w:t>dell’attività integra</w:t>
      </w:r>
      <w:r>
        <w:rPr>
          <w:rFonts w:ascii="Calibri" w:eastAsia="Times New Roman" w:hAnsi="Calibri" w:cs="Times New Roman"/>
          <w:color w:val="000000"/>
          <w:lang w:eastAsia="it-IT"/>
        </w:rPr>
        <w:t xml:space="preserve">ndoli tra loro: la garanzia, il </w:t>
      </w:r>
      <w:r w:rsidRPr="007C2AA3">
        <w:rPr>
          <w:rFonts w:ascii="Calibri" w:eastAsia="Times New Roman" w:hAnsi="Calibri" w:cs="Times New Roman"/>
          <w:color w:val="000000"/>
          <w:lang w:eastAsia="it-IT"/>
        </w:rPr>
        <w:t xml:space="preserve">credito diretto, l’assistenza consulenziale e il supporto nel </w:t>
      </w:r>
      <w:r>
        <w:rPr>
          <w:rFonts w:ascii="Calibri" w:eastAsia="Times New Roman" w:hAnsi="Calibri" w:cs="Times New Roman"/>
          <w:color w:val="000000"/>
          <w:lang w:eastAsia="it-IT"/>
        </w:rPr>
        <w:t xml:space="preserve">ricorso alla finanza agevolata. </w:t>
      </w:r>
    </w:p>
    <w:p w14:paraId="1639F63C" w14:textId="77777777" w:rsidR="00AB43B9" w:rsidRDefault="00AB43B9" w:rsidP="003C0A9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it-IT"/>
        </w:rPr>
      </w:pPr>
    </w:p>
    <w:p w14:paraId="48A813EB" w14:textId="77777777" w:rsidR="00AB43B9" w:rsidRDefault="00AB43B9" w:rsidP="003C0A9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it-IT"/>
        </w:rPr>
      </w:pPr>
      <w:r w:rsidRPr="007C2AA3">
        <w:rPr>
          <w:rFonts w:ascii="Calibri" w:eastAsia="Times New Roman" w:hAnsi="Calibri" w:cs="Times New Roman"/>
          <w:color w:val="000000"/>
          <w:lang w:eastAsia="it-IT"/>
        </w:rPr>
        <w:t>Attività a cui si aggiunge la disponibilità di strumenti e prodotti di finanza alternativa.</w:t>
      </w:r>
      <w:r>
        <w:rPr>
          <w:rFonts w:ascii="Calibri" w:eastAsia="Times New Roman" w:hAnsi="Calibri" w:cs="Times New Roman"/>
          <w:color w:val="000000"/>
          <w:lang w:eastAsia="it-IT"/>
        </w:rPr>
        <w:t xml:space="preserve"> </w:t>
      </w:r>
      <w:r w:rsidRPr="007C2AA3">
        <w:rPr>
          <w:rFonts w:ascii="Calibri" w:eastAsia="Times New Roman" w:hAnsi="Calibri" w:cs="Times New Roman"/>
          <w:i/>
          <w:iCs/>
          <w:color w:val="000000"/>
          <w:lang w:eastAsia="it-IT"/>
        </w:rPr>
        <w:t>“</w:t>
      </w:r>
      <w:proofErr w:type="spellStart"/>
      <w:r w:rsidRPr="007C2AA3">
        <w:rPr>
          <w:rFonts w:ascii="Calibri" w:eastAsia="Times New Roman" w:hAnsi="Calibri" w:cs="Times New Roman"/>
          <w:i/>
          <w:iCs/>
          <w:color w:val="000000"/>
          <w:lang w:eastAsia="it-IT"/>
        </w:rPr>
        <w:t>Finergis</w:t>
      </w:r>
      <w:proofErr w:type="spellEnd"/>
      <w:r w:rsidRPr="007C2AA3">
        <w:rPr>
          <w:rFonts w:ascii="Calibri" w:eastAsia="Times New Roman" w:hAnsi="Calibri" w:cs="Times New Roman"/>
          <w:i/>
          <w:iCs/>
          <w:color w:val="000000"/>
          <w:lang w:eastAsia="it-IT"/>
        </w:rPr>
        <w:t xml:space="preserve"> è il risultato dell’integrazione di due realtà fort</w:t>
      </w:r>
      <w:r>
        <w:rPr>
          <w:rFonts w:ascii="Calibri" w:eastAsia="Times New Roman" w:hAnsi="Calibri" w:cs="Times New Roman"/>
          <w:i/>
          <w:iCs/>
          <w:color w:val="000000"/>
          <w:lang w:eastAsia="it-IT"/>
        </w:rPr>
        <w:t xml:space="preserve">i e solide, che hanno deciso di </w:t>
      </w:r>
      <w:r w:rsidRPr="007C2AA3">
        <w:rPr>
          <w:rFonts w:ascii="Calibri" w:eastAsia="Times New Roman" w:hAnsi="Calibri" w:cs="Times New Roman"/>
          <w:i/>
          <w:iCs/>
          <w:color w:val="000000"/>
          <w:lang w:eastAsia="it-IT"/>
        </w:rPr>
        <w:t>conferire ciascuna valori diversi e condividere un progett</w:t>
      </w:r>
      <w:r>
        <w:rPr>
          <w:rFonts w:ascii="Calibri" w:eastAsia="Times New Roman" w:hAnsi="Calibri" w:cs="Times New Roman"/>
          <w:i/>
          <w:iCs/>
          <w:color w:val="000000"/>
          <w:lang w:eastAsia="it-IT"/>
        </w:rPr>
        <w:t xml:space="preserve">o di crescita e sviluppo per le imprese, facendo della </w:t>
      </w:r>
      <w:r w:rsidRPr="007C2AA3">
        <w:rPr>
          <w:rFonts w:ascii="Calibri" w:eastAsia="Times New Roman" w:hAnsi="Calibri" w:cs="Times New Roman"/>
          <w:i/>
          <w:iCs/>
          <w:color w:val="000000"/>
          <w:lang w:eastAsia="it-IT"/>
        </w:rPr>
        <w:t>prossimità territoriale e relazionale il proprio carattere distintivo”</w:t>
      </w:r>
      <w:r>
        <w:rPr>
          <w:rFonts w:ascii="Calibri" w:eastAsia="Times New Roman" w:hAnsi="Calibri" w:cs="Times New Roman"/>
          <w:color w:val="000000"/>
          <w:lang w:eastAsia="it-IT"/>
        </w:rPr>
        <w:t xml:space="preserve">, </w:t>
      </w:r>
      <w:r w:rsidRPr="007C2AA3">
        <w:rPr>
          <w:rFonts w:ascii="Calibri" w:eastAsia="Times New Roman" w:hAnsi="Calibri" w:cs="Times New Roman"/>
          <w:color w:val="000000"/>
          <w:lang w:eastAsia="it-IT"/>
        </w:rPr>
        <w:t xml:space="preserve">precisa </w:t>
      </w:r>
      <w:r w:rsidRPr="00AB43B9">
        <w:rPr>
          <w:rFonts w:ascii="Calibri" w:eastAsia="Times New Roman" w:hAnsi="Calibri" w:cs="Times New Roman"/>
          <w:b/>
          <w:color w:val="000000"/>
          <w:lang w:eastAsia="it-IT"/>
        </w:rPr>
        <w:t xml:space="preserve">Alessandro </w:t>
      </w:r>
      <w:proofErr w:type="spellStart"/>
      <w:r w:rsidRPr="00AB43B9">
        <w:rPr>
          <w:rFonts w:ascii="Calibri" w:eastAsia="Times New Roman" w:hAnsi="Calibri" w:cs="Times New Roman"/>
          <w:b/>
          <w:color w:val="000000"/>
          <w:lang w:eastAsia="it-IT"/>
        </w:rPr>
        <w:t>Bocchese</w:t>
      </w:r>
      <w:proofErr w:type="spellEnd"/>
      <w:r w:rsidRPr="00AB43B9">
        <w:rPr>
          <w:rFonts w:ascii="Calibri" w:eastAsia="Times New Roman" w:hAnsi="Calibri" w:cs="Times New Roman"/>
          <w:b/>
          <w:color w:val="000000"/>
          <w:lang w:eastAsia="it-IT"/>
        </w:rPr>
        <w:t xml:space="preserve">, Presidente di </w:t>
      </w:r>
      <w:proofErr w:type="spellStart"/>
      <w:r w:rsidRPr="00AB43B9">
        <w:rPr>
          <w:rFonts w:ascii="Calibri" w:eastAsia="Times New Roman" w:hAnsi="Calibri" w:cs="Times New Roman"/>
          <w:b/>
          <w:color w:val="000000"/>
          <w:lang w:eastAsia="it-IT"/>
        </w:rPr>
        <w:t>Neafidi</w:t>
      </w:r>
      <w:proofErr w:type="spellEnd"/>
      <w:r>
        <w:rPr>
          <w:rFonts w:ascii="Calibri" w:eastAsia="Times New Roman" w:hAnsi="Calibri" w:cs="Times New Roman"/>
          <w:color w:val="000000"/>
          <w:lang w:eastAsia="it-IT"/>
        </w:rPr>
        <w:t xml:space="preserve">. </w:t>
      </w:r>
    </w:p>
    <w:p w14:paraId="7310FA15" w14:textId="77777777" w:rsidR="00AB43B9" w:rsidRDefault="00AB43B9" w:rsidP="003C0A9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it-IT"/>
        </w:rPr>
      </w:pPr>
    </w:p>
    <w:p w14:paraId="01BCBC17" w14:textId="77777777" w:rsidR="00AA3344" w:rsidRDefault="00AB43B9" w:rsidP="003C0A9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it-IT"/>
        </w:rPr>
      </w:pPr>
      <w:r w:rsidRPr="007C2AA3">
        <w:rPr>
          <w:rFonts w:ascii="Calibri" w:eastAsia="Times New Roman" w:hAnsi="Calibri" w:cs="Times New Roman"/>
          <w:i/>
          <w:iCs/>
          <w:color w:val="000000"/>
          <w:lang w:eastAsia="it-IT"/>
        </w:rPr>
        <w:t>“E</w:t>
      </w:r>
      <w:r w:rsidR="000B7518">
        <w:rPr>
          <w:rFonts w:ascii="Calibri" w:eastAsia="Times New Roman" w:hAnsi="Calibri" w:cs="Times New Roman"/>
          <w:i/>
          <w:iCs/>
          <w:color w:val="000000"/>
          <w:lang w:eastAsia="it-IT"/>
        </w:rPr>
        <w:t xml:space="preserve">’ </w:t>
      </w:r>
      <w:r>
        <w:rPr>
          <w:rFonts w:ascii="Calibri" w:eastAsia="Times New Roman" w:hAnsi="Calibri" w:cs="Times New Roman"/>
          <w:i/>
          <w:iCs/>
          <w:color w:val="000000"/>
          <w:lang w:eastAsia="it-IT"/>
        </w:rPr>
        <w:t xml:space="preserve">stato un percorso aggregativo </w:t>
      </w:r>
      <w:r w:rsidRPr="007C2AA3">
        <w:rPr>
          <w:rFonts w:ascii="Calibri" w:eastAsia="Times New Roman" w:hAnsi="Calibri" w:cs="Times New Roman"/>
          <w:i/>
          <w:iCs/>
          <w:color w:val="000000"/>
          <w:lang w:eastAsia="it-IT"/>
        </w:rPr>
        <w:t>fondato fin dall’inizio su un principio di reciproca collabor</w:t>
      </w:r>
      <w:r>
        <w:rPr>
          <w:rFonts w:ascii="Calibri" w:eastAsia="Times New Roman" w:hAnsi="Calibri" w:cs="Times New Roman"/>
          <w:i/>
          <w:iCs/>
          <w:color w:val="000000"/>
          <w:lang w:eastAsia="it-IT"/>
        </w:rPr>
        <w:t xml:space="preserve">azione e pariteticità tra i due </w:t>
      </w:r>
      <w:r w:rsidRPr="007C2AA3">
        <w:rPr>
          <w:rFonts w:ascii="Calibri" w:eastAsia="Times New Roman" w:hAnsi="Calibri" w:cs="Times New Roman"/>
          <w:i/>
          <w:iCs/>
          <w:color w:val="000000"/>
          <w:lang w:eastAsia="it-IT"/>
        </w:rPr>
        <w:t>Confid</w:t>
      </w:r>
      <w:r>
        <w:rPr>
          <w:rFonts w:ascii="Calibri" w:eastAsia="Times New Roman" w:hAnsi="Calibri" w:cs="Times New Roman"/>
          <w:i/>
          <w:iCs/>
          <w:color w:val="000000"/>
          <w:lang w:eastAsia="it-IT"/>
        </w:rPr>
        <w:t xml:space="preserve">i - </w:t>
      </w:r>
      <w:r w:rsidRPr="00AB43B9">
        <w:rPr>
          <w:rFonts w:ascii="Calibri" w:eastAsia="Times New Roman" w:hAnsi="Calibri" w:cs="Times New Roman"/>
          <w:iCs/>
          <w:color w:val="000000"/>
          <w:lang w:eastAsia="it-IT"/>
        </w:rPr>
        <w:t xml:space="preserve">prosegue </w:t>
      </w:r>
      <w:proofErr w:type="spellStart"/>
      <w:r w:rsidRPr="00AB43B9">
        <w:rPr>
          <w:rFonts w:ascii="Calibri" w:eastAsia="Times New Roman" w:hAnsi="Calibri" w:cs="Times New Roman"/>
          <w:iCs/>
          <w:color w:val="000000"/>
          <w:lang w:eastAsia="it-IT"/>
        </w:rPr>
        <w:t>Bocchese</w:t>
      </w:r>
      <w:proofErr w:type="spellEnd"/>
      <w:r>
        <w:rPr>
          <w:rFonts w:ascii="Calibri" w:eastAsia="Times New Roman" w:hAnsi="Calibri" w:cs="Times New Roman"/>
          <w:i/>
          <w:iCs/>
          <w:color w:val="000000"/>
          <w:lang w:eastAsia="it-IT"/>
        </w:rPr>
        <w:t xml:space="preserve"> -,</w:t>
      </w:r>
      <w:r w:rsidRPr="007C2AA3">
        <w:rPr>
          <w:rFonts w:ascii="Calibri" w:eastAsia="Times New Roman" w:hAnsi="Calibri" w:cs="Times New Roman"/>
          <w:i/>
          <w:iCs/>
          <w:color w:val="000000"/>
          <w:lang w:eastAsia="it-IT"/>
        </w:rPr>
        <w:t xml:space="preserve"> che consentirà di garantire la presenza nel </w:t>
      </w:r>
      <w:r>
        <w:rPr>
          <w:rFonts w:ascii="Calibri" w:eastAsia="Times New Roman" w:hAnsi="Calibri" w:cs="Times New Roman"/>
          <w:i/>
          <w:iCs/>
          <w:color w:val="000000"/>
          <w:lang w:eastAsia="it-IT"/>
        </w:rPr>
        <w:t xml:space="preserve">Consiglio di Amministrazione di </w:t>
      </w:r>
      <w:r w:rsidRPr="007C2AA3">
        <w:rPr>
          <w:rFonts w:ascii="Calibri" w:eastAsia="Times New Roman" w:hAnsi="Calibri" w:cs="Times New Roman"/>
          <w:i/>
          <w:iCs/>
          <w:color w:val="000000"/>
          <w:lang w:eastAsia="it-IT"/>
        </w:rPr>
        <w:t xml:space="preserve">esponenti di micro, piccole, medie e grandi imprese, per far </w:t>
      </w:r>
      <w:r>
        <w:rPr>
          <w:rFonts w:ascii="Calibri" w:eastAsia="Times New Roman" w:hAnsi="Calibri" w:cs="Times New Roman"/>
          <w:i/>
          <w:iCs/>
          <w:color w:val="000000"/>
          <w:lang w:eastAsia="it-IT"/>
        </w:rPr>
        <w:t xml:space="preserve">sì che la guida di </w:t>
      </w:r>
      <w:proofErr w:type="spellStart"/>
      <w:r>
        <w:rPr>
          <w:rFonts w:ascii="Calibri" w:eastAsia="Times New Roman" w:hAnsi="Calibri" w:cs="Times New Roman"/>
          <w:i/>
          <w:iCs/>
          <w:color w:val="000000"/>
          <w:lang w:eastAsia="it-IT"/>
        </w:rPr>
        <w:t>Finergis</w:t>
      </w:r>
      <w:proofErr w:type="spellEnd"/>
      <w:r>
        <w:rPr>
          <w:rFonts w:ascii="Calibri" w:eastAsia="Times New Roman" w:hAnsi="Calibri" w:cs="Times New Roman"/>
          <w:i/>
          <w:iCs/>
          <w:color w:val="000000"/>
          <w:lang w:eastAsia="it-IT"/>
        </w:rPr>
        <w:t xml:space="preserve"> sia espressione di tutte </w:t>
      </w:r>
      <w:r w:rsidRPr="007C2AA3">
        <w:rPr>
          <w:rFonts w:ascii="Calibri" w:eastAsia="Times New Roman" w:hAnsi="Calibri" w:cs="Times New Roman"/>
          <w:i/>
          <w:iCs/>
          <w:color w:val="000000"/>
          <w:lang w:eastAsia="it-IT"/>
        </w:rPr>
        <w:t>le componenti del sistema imprenditoriale”.</w:t>
      </w:r>
      <w:r>
        <w:rPr>
          <w:rFonts w:ascii="Calibri" w:eastAsia="Times New Roman" w:hAnsi="Calibri" w:cs="Times New Roman"/>
          <w:color w:val="000000"/>
          <w:lang w:eastAsia="it-IT"/>
        </w:rPr>
        <w:t xml:space="preserve"> </w:t>
      </w:r>
    </w:p>
    <w:p w14:paraId="3891A49D" w14:textId="3CC58CF1" w:rsidR="00AB43B9" w:rsidRPr="007C2AA3" w:rsidRDefault="00AB43B9" w:rsidP="003C0A9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it-IT"/>
        </w:rPr>
      </w:pPr>
      <w:proofErr w:type="spellStart"/>
      <w:r w:rsidRPr="00AB43B9">
        <w:rPr>
          <w:rFonts w:ascii="Calibri" w:eastAsia="Times New Roman" w:hAnsi="Calibri" w:cs="Times New Roman"/>
          <w:b/>
          <w:color w:val="000000"/>
          <w:lang w:eastAsia="it-IT"/>
        </w:rPr>
        <w:lastRenderedPageBreak/>
        <w:t>Finergis</w:t>
      </w:r>
      <w:proofErr w:type="spellEnd"/>
      <w:r w:rsidRPr="007C2AA3">
        <w:rPr>
          <w:rFonts w:ascii="Calibri" w:eastAsia="Times New Roman" w:hAnsi="Calibri" w:cs="Times New Roman"/>
          <w:color w:val="000000"/>
          <w:lang w:eastAsia="it-IT"/>
        </w:rPr>
        <w:t xml:space="preserve"> si propone anche di </w:t>
      </w:r>
      <w:r w:rsidRPr="00AB43B9">
        <w:rPr>
          <w:rFonts w:ascii="Calibri" w:eastAsia="Times New Roman" w:hAnsi="Calibri" w:cs="Times New Roman"/>
          <w:b/>
          <w:color w:val="000000"/>
          <w:lang w:eastAsia="it-IT"/>
        </w:rPr>
        <w:t>valorizzare una integrazione di pratiche di sostenibilità e responsabilità sociale nelle operazioni finanziarie</w:t>
      </w:r>
      <w:r w:rsidRPr="007C2AA3">
        <w:rPr>
          <w:rFonts w:ascii="Calibri" w:eastAsia="Times New Roman" w:hAnsi="Calibri" w:cs="Times New Roman"/>
          <w:color w:val="000000"/>
          <w:lang w:eastAsia="it-IT"/>
        </w:rPr>
        <w:t>, ince</w:t>
      </w:r>
      <w:r>
        <w:rPr>
          <w:rFonts w:ascii="Calibri" w:eastAsia="Times New Roman" w:hAnsi="Calibri" w:cs="Times New Roman"/>
          <w:color w:val="000000"/>
          <w:lang w:eastAsia="it-IT"/>
        </w:rPr>
        <w:t xml:space="preserve">ntivando le imprese ad adottare </w:t>
      </w:r>
      <w:r w:rsidRPr="007C2AA3">
        <w:rPr>
          <w:rFonts w:ascii="Calibri" w:eastAsia="Times New Roman" w:hAnsi="Calibri" w:cs="Times New Roman"/>
          <w:color w:val="000000"/>
          <w:lang w:eastAsia="it-IT"/>
        </w:rPr>
        <w:t>modelli di business sempre più responsabili in ambito sociale ed ambientale.</w:t>
      </w:r>
    </w:p>
    <w:p w14:paraId="4664F9AB" w14:textId="77777777" w:rsidR="00AB43B9" w:rsidRPr="00AB43B9" w:rsidRDefault="00AB43B9" w:rsidP="00E8138E">
      <w:pPr>
        <w:shd w:val="clear" w:color="auto" w:fill="FFFFFF"/>
        <w:spacing w:after="0" w:line="240" w:lineRule="auto"/>
      </w:pPr>
    </w:p>
    <w:p w14:paraId="2ACAFEC6" w14:textId="77777777" w:rsidR="0090736B" w:rsidRPr="009C3BB4" w:rsidRDefault="0090736B" w:rsidP="009C3BB4">
      <w:pPr>
        <w:spacing w:after="0" w:line="276" w:lineRule="auto"/>
        <w:jc w:val="both"/>
        <w:rPr>
          <w:bCs/>
        </w:rPr>
      </w:pPr>
    </w:p>
    <w:p w14:paraId="489CA9C0" w14:textId="77777777" w:rsidR="009466CC" w:rsidRDefault="009466CC" w:rsidP="00691A1D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</w:p>
    <w:p w14:paraId="3D2910F4" w14:textId="77777777" w:rsidR="00691A1D" w:rsidRPr="008C2193" w:rsidRDefault="00691A1D" w:rsidP="00691A1D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8C2193">
        <w:rPr>
          <w:rFonts w:ascii="Calibri" w:hAnsi="Calibri" w:cs="Calibri"/>
          <w:sz w:val="20"/>
          <w:szCs w:val="20"/>
        </w:rPr>
        <w:t>Ufficio stampa CNA Lombardia</w:t>
      </w:r>
    </w:p>
    <w:p w14:paraId="6B7C3130" w14:textId="77777777" w:rsidR="00691A1D" w:rsidRPr="00DB7FFA" w:rsidRDefault="00691A1D" w:rsidP="00691A1D">
      <w:pPr>
        <w:spacing w:after="0"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DB7FFA">
        <w:rPr>
          <w:rFonts w:ascii="Calibri" w:hAnsi="Calibri" w:cs="Calibri"/>
          <w:b/>
          <w:bCs/>
          <w:sz w:val="20"/>
          <w:szCs w:val="20"/>
        </w:rPr>
        <w:t xml:space="preserve">Encanto Public Relations </w:t>
      </w:r>
    </w:p>
    <w:p w14:paraId="1677E265" w14:textId="77777777" w:rsidR="00DD7E8C" w:rsidRPr="00C3153D" w:rsidRDefault="00691A1D" w:rsidP="00C3153D">
      <w:pPr>
        <w:spacing w:after="0" w:line="276" w:lineRule="auto"/>
        <w:rPr>
          <w:rFonts w:cstheme="minorHAnsi"/>
        </w:rPr>
      </w:pPr>
      <w:r w:rsidRPr="005807D9">
        <w:rPr>
          <w:rFonts w:ascii="Calibri" w:hAnsi="Calibri" w:cs="Calibri"/>
          <w:sz w:val="20"/>
          <w:szCs w:val="20"/>
        </w:rPr>
        <w:t xml:space="preserve">Isaac Cozzi tel. 3938803139 mail: </w:t>
      </w:r>
      <w:r w:rsidRPr="005807D9">
        <w:t>isaac.cozzi</w:t>
      </w:r>
      <w:r w:rsidRPr="005807D9">
        <w:rPr>
          <w:rFonts w:cstheme="minorHAnsi"/>
        </w:rPr>
        <w:t>@</w:t>
      </w:r>
      <w:r w:rsidRPr="005807D9">
        <w:t>encantopr.it</w:t>
      </w:r>
    </w:p>
    <w:sectPr w:rsidR="00DD7E8C" w:rsidRPr="00C3153D" w:rsidSect="00692017">
      <w:headerReference w:type="default" r:id="rId11"/>
      <w:pgSz w:w="11906" w:h="16838"/>
      <w:pgMar w:top="226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E1B1D8" w14:textId="77777777" w:rsidR="00E8138E" w:rsidRDefault="00E8138E" w:rsidP="00223B20">
      <w:pPr>
        <w:spacing w:after="0" w:line="240" w:lineRule="auto"/>
      </w:pPr>
      <w:r>
        <w:separator/>
      </w:r>
    </w:p>
  </w:endnote>
  <w:endnote w:type="continuationSeparator" w:id="0">
    <w:p w14:paraId="66B6F95E" w14:textId="77777777" w:rsidR="00E8138E" w:rsidRDefault="00E8138E" w:rsidP="00223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BA5E99" w14:textId="77777777" w:rsidR="00E8138E" w:rsidRDefault="00E8138E" w:rsidP="00223B20">
      <w:pPr>
        <w:spacing w:after="0" w:line="240" w:lineRule="auto"/>
      </w:pPr>
      <w:r>
        <w:separator/>
      </w:r>
    </w:p>
  </w:footnote>
  <w:footnote w:type="continuationSeparator" w:id="0">
    <w:p w14:paraId="09FAA4E3" w14:textId="77777777" w:rsidR="00E8138E" w:rsidRDefault="00E8138E" w:rsidP="00223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A28E24" w14:textId="77777777" w:rsidR="00E8138E" w:rsidRDefault="00E8138E" w:rsidP="00223B20">
    <w:pPr>
      <w:pStyle w:val="Intestazione"/>
    </w:pPr>
  </w:p>
  <w:p w14:paraId="2633ED32" w14:textId="77777777" w:rsidR="00E8138E" w:rsidRDefault="00E8138E">
    <w:pPr>
      <w:pStyle w:val="Intestazione"/>
    </w:pPr>
    <w:r>
      <w:rPr>
        <w:noProof/>
        <w:lang w:eastAsia="it-IT"/>
      </w:rPr>
      <w:drawing>
        <wp:inline distT="0" distB="0" distL="0" distR="0" wp14:anchorId="3014E7C7" wp14:editId="2D0C9350">
          <wp:extent cx="2357120" cy="638175"/>
          <wp:effectExtent l="0" t="0" r="5080" b="9525"/>
          <wp:docPr id="644452463" name="Immagine 644452463" descr="Immagine che contiene Carattere, logo, simbol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Carattere, logo, simbolo, Elementi grafici&#10;&#10;Descrizione generata automaticament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7120" cy="638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34A17"/>
    <w:multiLevelType w:val="hybridMultilevel"/>
    <w:tmpl w:val="238E88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8F25CC"/>
    <w:multiLevelType w:val="hybridMultilevel"/>
    <w:tmpl w:val="6834EF08"/>
    <w:lvl w:ilvl="0" w:tplc="0410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 w16cid:durableId="1557007823">
    <w:abstractNumId w:val="0"/>
  </w:num>
  <w:num w:numId="2" w16cid:durableId="4099293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47E6"/>
    <w:rsid w:val="00000B67"/>
    <w:rsid w:val="0001262D"/>
    <w:rsid w:val="00013ABF"/>
    <w:rsid w:val="000146DE"/>
    <w:rsid w:val="00014893"/>
    <w:rsid w:val="00016A5A"/>
    <w:rsid w:val="00022CFE"/>
    <w:rsid w:val="000264C7"/>
    <w:rsid w:val="0003069B"/>
    <w:rsid w:val="00034150"/>
    <w:rsid w:val="000367B9"/>
    <w:rsid w:val="00043739"/>
    <w:rsid w:val="00045FCC"/>
    <w:rsid w:val="0005392E"/>
    <w:rsid w:val="00056988"/>
    <w:rsid w:val="00064D78"/>
    <w:rsid w:val="0006782B"/>
    <w:rsid w:val="0006793A"/>
    <w:rsid w:val="000725A3"/>
    <w:rsid w:val="00072AFD"/>
    <w:rsid w:val="0007360F"/>
    <w:rsid w:val="00074CB8"/>
    <w:rsid w:val="00077104"/>
    <w:rsid w:val="000836D7"/>
    <w:rsid w:val="00083820"/>
    <w:rsid w:val="00084CE1"/>
    <w:rsid w:val="000879B2"/>
    <w:rsid w:val="00087AA6"/>
    <w:rsid w:val="0009316A"/>
    <w:rsid w:val="00097099"/>
    <w:rsid w:val="00097B53"/>
    <w:rsid w:val="000A156E"/>
    <w:rsid w:val="000A1784"/>
    <w:rsid w:val="000A1851"/>
    <w:rsid w:val="000A3725"/>
    <w:rsid w:val="000B1588"/>
    <w:rsid w:val="000B299F"/>
    <w:rsid w:val="000B4086"/>
    <w:rsid w:val="000B4F78"/>
    <w:rsid w:val="000B7518"/>
    <w:rsid w:val="000B7FF1"/>
    <w:rsid w:val="000C28DC"/>
    <w:rsid w:val="000C2C1A"/>
    <w:rsid w:val="000C5B54"/>
    <w:rsid w:val="000D2009"/>
    <w:rsid w:val="000D2B6B"/>
    <w:rsid w:val="000D41FC"/>
    <w:rsid w:val="000D4C5E"/>
    <w:rsid w:val="000E4A8A"/>
    <w:rsid w:val="000F2254"/>
    <w:rsid w:val="000F3933"/>
    <w:rsid w:val="000F475A"/>
    <w:rsid w:val="000F47E6"/>
    <w:rsid w:val="000F535E"/>
    <w:rsid w:val="00100C77"/>
    <w:rsid w:val="001040FD"/>
    <w:rsid w:val="001055FB"/>
    <w:rsid w:val="00106750"/>
    <w:rsid w:val="001153FA"/>
    <w:rsid w:val="00117AE9"/>
    <w:rsid w:val="00124FC0"/>
    <w:rsid w:val="00125010"/>
    <w:rsid w:val="00125B85"/>
    <w:rsid w:val="00132113"/>
    <w:rsid w:val="00136A41"/>
    <w:rsid w:val="00137331"/>
    <w:rsid w:val="0014137C"/>
    <w:rsid w:val="001413E1"/>
    <w:rsid w:val="001474C0"/>
    <w:rsid w:val="00157172"/>
    <w:rsid w:val="00160595"/>
    <w:rsid w:val="00161E1F"/>
    <w:rsid w:val="0017665A"/>
    <w:rsid w:val="00176C2C"/>
    <w:rsid w:val="0017784D"/>
    <w:rsid w:val="00180B28"/>
    <w:rsid w:val="0018275E"/>
    <w:rsid w:val="001858E1"/>
    <w:rsid w:val="00186C8E"/>
    <w:rsid w:val="00190421"/>
    <w:rsid w:val="00190BC2"/>
    <w:rsid w:val="001A06A6"/>
    <w:rsid w:val="001A286B"/>
    <w:rsid w:val="001A367B"/>
    <w:rsid w:val="001A5513"/>
    <w:rsid w:val="001B1C3C"/>
    <w:rsid w:val="001B4E5D"/>
    <w:rsid w:val="001B515D"/>
    <w:rsid w:val="001B7699"/>
    <w:rsid w:val="001C1390"/>
    <w:rsid w:val="001C153F"/>
    <w:rsid w:val="001C17E3"/>
    <w:rsid w:val="001C4721"/>
    <w:rsid w:val="001D25BE"/>
    <w:rsid w:val="001D4190"/>
    <w:rsid w:val="001E0EB6"/>
    <w:rsid w:val="001E23C9"/>
    <w:rsid w:val="001E2F07"/>
    <w:rsid w:val="001E65A0"/>
    <w:rsid w:val="001F01C3"/>
    <w:rsid w:val="001F0F43"/>
    <w:rsid w:val="001F3376"/>
    <w:rsid w:val="001F36F5"/>
    <w:rsid w:val="001F4034"/>
    <w:rsid w:val="001F48C9"/>
    <w:rsid w:val="001F4A93"/>
    <w:rsid w:val="00200AA0"/>
    <w:rsid w:val="00211D9A"/>
    <w:rsid w:val="002162B3"/>
    <w:rsid w:val="00220919"/>
    <w:rsid w:val="00221444"/>
    <w:rsid w:val="002229DA"/>
    <w:rsid w:val="00223B20"/>
    <w:rsid w:val="00224A13"/>
    <w:rsid w:val="00224EB3"/>
    <w:rsid w:val="002346A1"/>
    <w:rsid w:val="00235B4C"/>
    <w:rsid w:val="002414FE"/>
    <w:rsid w:val="002429D2"/>
    <w:rsid w:val="00245BD3"/>
    <w:rsid w:val="0025114B"/>
    <w:rsid w:val="00253EAE"/>
    <w:rsid w:val="00254BD2"/>
    <w:rsid w:val="002553FA"/>
    <w:rsid w:val="00255F8E"/>
    <w:rsid w:val="00256E49"/>
    <w:rsid w:val="00263388"/>
    <w:rsid w:val="00263C03"/>
    <w:rsid w:val="002677AF"/>
    <w:rsid w:val="002701C8"/>
    <w:rsid w:val="002722B1"/>
    <w:rsid w:val="002729E4"/>
    <w:rsid w:val="00286A5B"/>
    <w:rsid w:val="00287772"/>
    <w:rsid w:val="0029143A"/>
    <w:rsid w:val="00294BFE"/>
    <w:rsid w:val="00296E7B"/>
    <w:rsid w:val="002A118B"/>
    <w:rsid w:val="002A246B"/>
    <w:rsid w:val="002A333D"/>
    <w:rsid w:val="002B144E"/>
    <w:rsid w:val="002B7081"/>
    <w:rsid w:val="002C2AC8"/>
    <w:rsid w:val="002C5666"/>
    <w:rsid w:val="002C6DF6"/>
    <w:rsid w:val="002D233F"/>
    <w:rsid w:val="002D33D7"/>
    <w:rsid w:val="002D4921"/>
    <w:rsid w:val="002E1DB8"/>
    <w:rsid w:val="002E2DBA"/>
    <w:rsid w:val="002E39BD"/>
    <w:rsid w:val="002E5115"/>
    <w:rsid w:val="002E58FF"/>
    <w:rsid w:val="002E7632"/>
    <w:rsid w:val="002F1C24"/>
    <w:rsid w:val="002F3FFF"/>
    <w:rsid w:val="002F67CD"/>
    <w:rsid w:val="00302433"/>
    <w:rsid w:val="00303163"/>
    <w:rsid w:val="00306B76"/>
    <w:rsid w:val="00310B0E"/>
    <w:rsid w:val="003126D9"/>
    <w:rsid w:val="00320569"/>
    <w:rsid w:val="00324C94"/>
    <w:rsid w:val="0032722F"/>
    <w:rsid w:val="00331BDE"/>
    <w:rsid w:val="003412A3"/>
    <w:rsid w:val="003508BD"/>
    <w:rsid w:val="003516DD"/>
    <w:rsid w:val="00362029"/>
    <w:rsid w:val="00362CAB"/>
    <w:rsid w:val="00363483"/>
    <w:rsid w:val="003672BC"/>
    <w:rsid w:val="00372680"/>
    <w:rsid w:val="003737D3"/>
    <w:rsid w:val="00380023"/>
    <w:rsid w:val="003815E6"/>
    <w:rsid w:val="00385962"/>
    <w:rsid w:val="00390279"/>
    <w:rsid w:val="00390574"/>
    <w:rsid w:val="00397521"/>
    <w:rsid w:val="003A04AB"/>
    <w:rsid w:val="003A4C76"/>
    <w:rsid w:val="003A5886"/>
    <w:rsid w:val="003B043B"/>
    <w:rsid w:val="003B2961"/>
    <w:rsid w:val="003B4D1B"/>
    <w:rsid w:val="003B734E"/>
    <w:rsid w:val="003C0A9F"/>
    <w:rsid w:val="003C1D4D"/>
    <w:rsid w:val="003C29A4"/>
    <w:rsid w:val="003C367B"/>
    <w:rsid w:val="003C6A7D"/>
    <w:rsid w:val="003D14B0"/>
    <w:rsid w:val="003D2D13"/>
    <w:rsid w:val="003D2D29"/>
    <w:rsid w:val="003D3430"/>
    <w:rsid w:val="003D56F4"/>
    <w:rsid w:val="003D6389"/>
    <w:rsid w:val="003E0BDA"/>
    <w:rsid w:val="003E4479"/>
    <w:rsid w:val="003E64AE"/>
    <w:rsid w:val="003E7A2D"/>
    <w:rsid w:val="003F4BCC"/>
    <w:rsid w:val="003F7E71"/>
    <w:rsid w:val="00401C36"/>
    <w:rsid w:val="00401EC3"/>
    <w:rsid w:val="00402CBD"/>
    <w:rsid w:val="004051E2"/>
    <w:rsid w:val="004101FD"/>
    <w:rsid w:val="004103D7"/>
    <w:rsid w:val="00413DA3"/>
    <w:rsid w:val="00424ED3"/>
    <w:rsid w:val="0042534C"/>
    <w:rsid w:val="0042725C"/>
    <w:rsid w:val="00427719"/>
    <w:rsid w:val="0043265A"/>
    <w:rsid w:val="00432B87"/>
    <w:rsid w:val="00440092"/>
    <w:rsid w:val="00454416"/>
    <w:rsid w:val="00454577"/>
    <w:rsid w:val="00456313"/>
    <w:rsid w:val="00467001"/>
    <w:rsid w:val="00467748"/>
    <w:rsid w:val="00467C56"/>
    <w:rsid w:val="004769E2"/>
    <w:rsid w:val="00481164"/>
    <w:rsid w:val="004824F7"/>
    <w:rsid w:val="004877CC"/>
    <w:rsid w:val="004879EE"/>
    <w:rsid w:val="0049230A"/>
    <w:rsid w:val="00497647"/>
    <w:rsid w:val="004A11B8"/>
    <w:rsid w:val="004A2D15"/>
    <w:rsid w:val="004A7AF8"/>
    <w:rsid w:val="004B5CD6"/>
    <w:rsid w:val="004C2388"/>
    <w:rsid w:val="004C48BF"/>
    <w:rsid w:val="004C7371"/>
    <w:rsid w:val="004D26A7"/>
    <w:rsid w:val="004D2AC9"/>
    <w:rsid w:val="004D425D"/>
    <w:rsid w:val="004D4406"/>
    <w:rsid w:val="004D71CC"/>
    <w:rsid w:val="004E448F"/>
    <w:rsid w:val="004E52EF"/>
    <w:rsid w:val="004E630B"/>
    <w:rsid w:val="004F2374"/>
    <w:rsid w:val="004F5419"/>
    <w:rsid w:val="004F706A"/>
    <w:rsid w:val="00500995"/>
    <w:rsid w:val="00504A5F"/>
    <w:rsid w:val="0050598E"/>
    <w:rsid w:val="005068F3"/>
    <w:rsid w:val="00507E93"/>
    <w:rsid w:val="00515B31"/>
    <w:rsid w:val="00516D8C"/>
    <w:rsid w:val="00517784"/>
    <w:rsid w:val="00521017"/>
    <w:rsid w:val="00521948"/>
    <w:rsid w:val="005260D4"/>
    <w:rsid w:val="00526B7E"/>
    <w:rsid w:val="00530E8B"/>
    <w:rsid w:val="00530E96"/>
    <w:rsid w:val="00536B9F"/>
    <w:rsid w:val="00537678"/>
    <w:rsid w:val="00543F56"/>
    <w:rsid w:val="005473F3"/>
    <w:rsid w:val="005509B0"/>
    <w:rsid w:val="005517E4"/>
    <w:rsid w:val="00551C2B"/>
    <w:rsid w:val="00554E36"/>
    <w:rsid w:val="00560D69"/>
    <w:rsid w:val="00561B54"/>
    <w:rsid w:val="00563FAF"/>
    <w:rsid w:val="00571985"/>
    <w:rsid w:val="00574010"/>
    <w:rsid w:val="0057454C"/>
    <w:rsid w:val="005807D9"/>
    <w:rsid w:val="00582E5F"/>
    <w:rsid w:val="00583C84"/>
    <w:rsid w:val="005B0540"/>
    <w:rsid w:val="005B1E2A"/>
    <w:rsid w:val="005B35FC"/>
    <w:rsid w:val="005B4E85"/>
    <w:rsid w:val="005B7035"/>
    <w:rsid w:val="005C0954"/>
    <w:rsid w:val="005D01BF"/>
    <w:rsid w:val="005D171D"/>
    <w:rsid w:val="005E18F1"/>
    <w:rsid w:val="005E23B6"/>
    <w:rsid w:val="005E30E1"/>
    <w:rsid w:val="005F4406"/>
    <w:rsid w:val="005F6528"/>
    <w:rsid w:val="006066B5"/>
    <w:rsid w:val="00606AD0"/>
    <w:rsid w:val="00607285"/>
    <w:rsid w:val="00617681"/>
    <w:rsid w:val="00617B82"/>
    <w:rsid w:val="006225FF"/>
    <w:rsid w:val="0062296A"/>
    <w:rsid w:val="00624018"/>
    <w:rsid w:val="00625432"/>
    <w:rsid w:val="00632117"/>
    <w:rsid w:val="006442AF"/>
    <w:rsid w:val="00644CD3"/>
    <w:rsid w:val="00645307"/>
    <w:rsid w:val="00645551"/>
    <w:rsid w:val="00647504"/>
    <w:rsid w:val="00651380"/>
    <w:rsid w:val="00654419"/>
    <w:rsid w:val="006560CB"/>
    <w:rsid w:val="0065665A"/>
    <w:rsid w:val="006578F6"/>
    <w:rsid w:val="00661AA9"/>
    <w:rsid w:val="00664ADF"/>
    <w:rsid w:val="006651E9"/>
    <w:rsid w:val="006770A5"/>
    <w:rsid w:val="00681153"/>
    <w:rsid w:val="00682334"/>
    <w:rsid w:val="00682F03"/>
    <w:rsid w:val="006865E3"/>
    <w:rsid w:val="006877B1"/>
    <w:rsid w:val="00687899"/>
    <w:rsid w:val="00687903"/>
    <w:rsid w:val="00691A1D"/>
    <w:rsid w:val="00692017"/>
    <w:rsid w:val="006934C3"/>
    <w:rsid w:val="006961B5"/>
    <w:rsid w:val="00696499"/>
    <w:rsid w:val="006A05A7"/>
    <w:rsid w:val="006A0644"/>
    <w:rsid w:val="006A33F9"/>
    <w:rsid w:val="006B079E"/>
    <w:rsid w:val="006B18BB"/>
    <w:rsid w:val="006B3FBB"/>
    <w:rsid w:val="006C036C"/>
    <w:rsid w:val="006C09A5"/>
    <w:rsid w:val="006C11F1"/>
    <w:rsid w:val="006C1A83"/>
    <w:rsid w:val="006C2F34"/>
    <w:rsid w:val="006C3157"/>
    <w:rsid w:val="006C614B"/>
    <w:rsid w:val="006C6845"/>
    <w:rsid w:val="006C7444"/>
    <w:rsid w:val="006C7FFC"/>
    <w:rsid w:val="006D042B"/>
    <w:rsid w:val="006D68DB"/>
    <w:rsid w:val="006D6F63"/>
    <w:rsid w:val="006D6F98"/>
    <w:rsid w:val="006E0529"/>
    <w:rsid w:val="006E30A1"/>
    <w:rsid w:val="006E43B6"/>
    <w:rsid w:val="006E4877"/>
    <w:rsid w:val="006E5843"/>
    <w:rsid w:val="006E58FD"/>
    <w:rsid w:val="006F0795"/>
    <w:rsid w:val="006F1BB7"/>
    <w:rsid w:val="006F3A30"/>
    <w:rsid w:val="006F474B"/>
    <w:rsid w:val="00704784"/>
    <w:rsid w:val="007069E3"/>
    <w:rsid w:val="007078B9"/>
    <w:rsid w:val="00710969"/>
    <w:rsid w:val="00711D6C"/>
    <w:rsid w:val="0072143D"/>
    <w:rsid w:val="00722373"/>
    <w:rsid w:val="0073540A"/>
    <w:rsid w:val="00743995"/>
    <w:rsid w:val="00743C0D"/>
    <w:rsid w:val="00745A00"/>
    <w:rsid w:val="00747E3B"/>
    <w:rsid w:val="007578F3"/>
    <w:rsid w:val="0076185D"/>
    <w:rsid w:val="00762AFF"/>
    <w:rsid w:val="00763A6F"/>
    <w:rsid w:val="00766634"/>
    <w:rsid w:val="0077113A"/>
    <w:rsid w:val="007719D5"/>
    <w:rsid w:val="00774AFC"/>
    <w:rsid w:val="00781FF8"/>
    <w:rsid w:val="00796990"/>
    <w:rsid w:val="007A2A16"/>
    <w:rsid w:val="007A4F74"/>
    <w:rsid w:val="007B0060"/>
    <w:rsid w:val="007B2BB5"/>
    <w:rsid w:val="007B2DAE"/>
    <w:rsid w:val="007B5301"/>
    <w:rsid w:val="007B57C1"/>
    <w:rsid w:val="007B7F5A"/>
    <w:rsid w:val="007C16C3"/>
    <w:rsid w:val="007C2AA3"/>
    <w:rsid w:val="007C4037"/>
    <w:rsid w:val="007E38EE"/>
    <w:rsid w:val="007E7C21"/>
    <w:rsid w:val="007E7E00"/>
    <w:rsid w:val="007F211D"/>
    <w:rsid w:val="007F2539"/>
    <w:rsid w:val="007F4910"/>
    <w:rsid w:val="007F6883"/>
    <w:rsid w:val="008114C5"/>
    <w:rsid w:val="00821C3B"/>
    <w:rsid w:val="0082313F"/>
    <w:rsid w:val="008315E6"/>
    <w:rsid w:val="008322FF"/>
    <w:rsid w:val="00841380"/>
    <w:rsid w:val="00846264"/>
    <w:rsid w:val="00847706"/>
    <w:rsid w:val="008539D1"/>
    <w:rsid w:val="008541FF"/>
    <w:rsid w:val="008604A3"/>
    <w:rsid w:val="00860A9A"/>
    <w:rsid w:val="008642C2"/>
    <w:rsid w:val="008660C0"/>
    <w:rsid w:val="00871ACD"/>
    <w:rsid w:val="0087223B"/>
    <w:rsid w:val="00877FFC"/>
    <w:rsid w:val="00880209"/>
    <w:rsid w:val="00880717"/>
    <w:rsid w:val="00880CEA"/>
    <w:rsid w:val="00880E5F"/>
    <w:rsid w:val="008825B9"/>
    <w:rsid w:val="00884D32"/>
    <w:rsid w:val="00885BA4"/>
    <w:rsid w:val="00890ABB"/>
    <w:rsid w:val="00895665"/>
    <w:rsid w:val="00896E3D"/>
    <w:rsid w:val="008A12D4"/>
    <w:rsid w:val="008A167D"/>
    <w:rsid w:val="008A5A0F"/>
    <w:rsid w:val="008A5E8E"/>
    <w:rsid w:val="008B3393"/>
    <w:rsid w:val="008B40B0"/>
    <w:rsid w:val="008B6867"/>
    <w:rsid w:val="008B73ED"/>
    <w:rsid w:val="008B78D7"/>
    <w:rsid w:val="008C2193"/>
    <w:rsid w:val="008D074A"/>
    <w:rsid w:val="008D0CEE"/>
    <w:rsid w:val="008D36EC"/>
    <w:rsid w:val="008D3933"/>
    <w:rsid w:val="008E4C5E"/>
    <w:rsid w:val="008E5D85"/>
    <w:rsid w:val="008E6A56"/>
    <w:rsid w:val="008F1482"/>
    <w:rsid w:val="008F3FE6"/>
    <w:rsid w:val="0090736B"/>
    <w:rsid w:val="00911E05"/>
    <w:rsid w:val="00915019"/>
    <w:rsid w:val="00916B6A"/>
    <w:rsid w:val="00917F3A"/>
    <w:rsid w:val="00934332"/>
    <w:rsid w:val="00941187"/>
    <w:rsid w:val="009461A4"/>
    <w:rsid w:val="009466CC"/>
    <w:rsid w:val="00950E0F"/>
    <w:rsid w:val="009513B1"/>
    <w:rsid w:val="0095763D"/>
    <w:rsid w:val="009632A7"/>
    <w:rsid w:val="00972C60"/>
    <w:rsid w:val="00973DB8"/>
    <w:rsid w:val="00974390"/>
    <w:rsid w:val="00976433"/>
    <w:rsid w:val="00984633"/>
    <w:rsid w:val="00985E71"/>
    <w:rsid w:val="009863C7"/>
    <w:rsid w:val="009907EF"/>
    <w:rsid w:val="009A7D50"/>
    <w:rsid w:val="009B3E1D"/>
    <w:rsid w:val="009B5221"/>
    <w:rsid w:val="009B5C1D"/>
    <w:rsid w:val="009B69F3"/>
    <w:rsid w:val="009C1BD5"/>
    <w:rsid w:val="009C2EB8"/>
    <w:rsid w:val="009C3BB4"/>
    <w:rsid w:val="009C7EF9"/>
    <w:rsid w:val="009D156C"/>
    <w:rsid w:val="009D1DD0"/>
    <w:rsid w:val="009D29FE"/>
    <w:rsid w:val="009D40B0"/>
    <w:rsid w:val="009D61EE"/>
    <w:rsid w:val="009E5630"/>
    <w:rsid w:val="009E68A3"/>
    <w:rsid w:val="009E7790"/>
    <w:rsid w:val="009F1986"/>
    <w:rsid w:val="009F7741"/>
    <w:rsid w:val="00A0025B"/>
    <w:rsid w:val="00A00853"/>
    <w:rsid w:val="00A10F01"/>
    <w:rsid w:val="00A11C77"/>
    <w:rsid w:val="00A13086"/>
    <w:rsid w:val="00A1759F"/>
    <w:rsid w:val="00A1772A"/>
    <w:rsid w:val="00A20F25"/>
    <w:rsid w:val="00A218A3"/>
    <w:rsid w:val="00A2730B"/>
    <w:rsid w:val="00A31729"/>
    <w:rsid w:val="00A345BE"/>
    <w:rsid w:val="00A37A15"/>
    <w:rsid w:val="00A4021C"/>
    <w:rsid w:val="00A4405E"/>
    <w:rsid w:val="00A44B10"/>
    <w:rsid w:val="00A5386B"/>
    <w:rsid w:val="00A56F36"/>
    <w:rsid w:val="00A5748E"/>
    <w:rsid w:val="00A77E67"/>
    <w:rsid w:val="00A81F2E"/>
    <w:rsid w:val="00A878F2"/>
    <w:rsid w:val="00A87D3B"/>
    <w:rsid w:val="00A9494A"/>
    <w:rsid w:val="00A95B2A"/>
    <w:rsid w:val="00AA0080"/>
    <w:rsid w:val="00AA029C"/>
    <w:rsid w:val="00AA30EF"/>
    <w:rsid w:val="00AA310D"/>
    <w:rsid w:val="00AA3344"/>
    <w:rsid w:val="00AA38E9"/>
    <w:rsid w:val="00AA3A51"/>
    <w:rsid w:val="00AA61B9"/>
    <w:rsid w:val="00AB365C"/>
    <w:rsid w:val="00AB43B9"/>
    <w:rsid w:val="00AB7595"/>
    <w:rsid w:val="00AB7ACB"/>
    <w:rsid w:val="00AC0CB4"/>
    <w:rsid w:val="00AC16FC"/>
    <w:rsid w:val="00AC7951"/>
    <w:rsid w:val="00AD01FE"/>
    <w:rsid w:val="00AD1BAB"/>
    <w:rsid w:val="00AD601E"/>
    <w:rsid w:val="00AD635F"/>
    <w:rsid w:val="00AE7040"/>
    <w:rsid w:val="00AE7B32"/>
    <w:rsid w:val="00AF02FB"/>
    <w:rsid w:val="00AF1453"/>
    <w:rsid w:val="00AF204B"/>
    <w:rsid w:val="00B0132C"/>
    <w:rsid w:val="00B013FC"/>
    <w:rsid w:val="00B03C66"/>
    <w:rsid w:val="00B05148"/>
    <w:rsid w:val="00B0798F"/>
    <w:rsid w:val="00B113AB"/>
    <w:rsid w:val="00B1710B"/>
    <w:rsid w:val="00B203D5"/>
    <w:rsid w:val="00B20C99"/>
    <w:rsid w:val="00B2114F"/>
    <w:rsid w:val="00B2629D"/>
    <w:rsid w:val="00B26DCA"/>
    <w:rsid w:val="00B3383A"/>
    <w:rsid w:val="00B37D19"/>
    <w:rsid w:val="00B4087F"/>
    <w:rsid w:val="00B42606"/>
    <w:rsid w:val="00B43329"/>
    <w:rsid w:val="00B44634"/>
    <w:rsid w:val="00B44C69"/>
    <w:rsid w:val="00B45570"/>
    <w:rsid w:val="00B46D3F"/>
    <w:rsid w:val="00B471F8"/>
    <w:rsid w:val="00B4768F"/>
    <w:rsid w:val="00B47C3D"/>
    <w:rsid w:val="00B50373"/>
    <w:rsid w:val="00B52EB2"/>
    <w:rsid w:val="00B72C4A"/>
    <w:rsid w:val="00B75221"/>
    <w:rsid w:val="00B76FA4"/>
    <w:rsid w:val="00B82E0E"/>
    <w:rsid w:val="00B86F53"/>
    <w:rsid w:val="00B90461"/>
    <w:rsid w:val="00B93D00"/>
    <w:rsid w:val="00B94BD5"/>
    <w:rsid w:val="00BA1C8E"/>
    <w:rsid w:val="00BB489E"/>
    <w:rsid w:val="00BC0CC8"/>
    <w:rsid w:val="00BC1CFE"/>
    <w:rsid w:val="00BC1EA2"/>
    <w:rsid w:val="00BC5776"/>
    <w:rsid w:val="00BC659A"/>
    <w:rsid w:val="00BD0678"/>
    <w:rsid w:val="00BD1461"/>
    <w:rsid w:val="00BD20B2"/>
    <w:rsid w:val="00BD4532"/>
    <w:rsid w:val="00BD5172"/>
    <w:rsid w:val="00BD6860"/>
    <w:rsid w:val="00BD795D"/>
    <w:rsid w:val="00BE0E38"/>
    <w:rsid w:val="00BE5472"/>
    <w:rsid w:val="00BE78C6"/>
    <w:rsid w:val="00BF6719"/>
    <w:rsid w:val="00C03D80"/>
    <w:rsid w:val="00C04FF8"/>
    <w:rsid w:val="00C060A0"/>
    <w:rsid w:val="00C13E8F"/>
    <w:rsid w:val="00C227B1"/>
    <w:rsid w:val="00C22863"/>
    <w:rsid w:val="00C23535"/>
    <w:rsid w:val="00C270BD"/>
    <w:rsid w:val="00C3153D"/>
    <w:rsid w:val="00C32E6E"/>
    <w:rsid w:val="00C3360A"/>
    <w:rsid w:val="00C338A9"/>
    <w:rsid w:val="00C35F9C"/>
    <w:rsid w:val="00C37535"/>
    <w:rsid w:val="00C409F7"/>
    <w:rsid w:val="00C41EAD"/>
    <w:rsid w:val="00C43582"/>
    <w:rsid w:val="00C45476"/>
    <w:rsid w:val="00C47478"/>
    <w:rsid w:val="00C474FC"/>
    <w:rsid w:val="00C50B0A"/>
    <w:rsid w:val="00C5683E"/>
    <w:rsid w:val="00C62C91"/>
    <w:rsid w:val="00C64139"/>
    <w:rsid w:val="00C6553C"/>
    <w:rsid w:val="00C65AE5"/>
    <w:rsid w:val="00C674A1"/>
    <w:rsid w:val="00C70CB2"/>
    <w:rsid w:val="00C714A4"/>
    <w:rsid w:val="00C7478A"/>
    <w:rsid w:val="00C763C7"/>
    <w:rsid w:val="00C81011"/>
    <w:rsid w:val="00C815BF"/>
    <w:rsid w:val="00C817F3"/>
    <w:rsid w:val="00C81C40"/>
    <w:rsid w:val="00C847C1"/>
    <w:rsid w:val="00C85A7C"/>
    <w:rsid w:val="00C85B46"/>
    <w:rsid w:val="00C91D89"/>
    <w:rsid w:val="00C934AF"/>
    <w:rsid w:val="00CA1763"/>
    <w:rsid w:val="00CA2736"/>
    <w:rsid w:val="00CA549C"/>
    <w:rsid w:val="00CA6EAC"/>
    <w:rsid w:val="00CA77C2"/>
    <w:rsid w:val="00CA78DE"/>
    <w:rsid w:val="00CB0F4D"/>
    <w:rsid w:val="00CB23F5"/>
    <w:rsid w:val="00CB3D43"/>
    <w:rsid w:val="00CB4DF5"/>
    <w:rsid w:val="00CB4E4E"/>
    <w:rsid w:val="00CB54FC"/>
    <w:rsid w:val="00CB626F"/>
    <w:rsid w:val="00CB7F74"/>
    <w:rsid w:val="00CC01E3"/>
    <w:rsid w:val="00CC2508"/>
    <w:rsid w:val="00CC4868"/>
    <w:rsid w:val="00CD0C9B"/>
    <w:rsid w:val="00CD1990"/>
    <w:rsid w:val="00CE1793"/>
    <w:rsid w:val="00CE32C3"/>
    <w:rsid w:val="00CE4D2B"/>
    <w:rsid w:val="00CF1C62"/>
    <w:rsid w:val="00CF3709"/>
    <w:rsid w:val="00CF4663"/>
    <w:rsid w:val="00D02FCC"/>
    <w:rsid w:val="00D03FF3"/>
    <w:rsid w:val="00D06360"/>
    <w:rsid w:val="00D06F45"/>
    <w:rsid w:val="00D16F0C"/>
    <w:rsid w:val="00D326CA"/>
    <w:rsid w:val="00D33EAC"/>
    <w:rsid w:val="00D345F5"/>
    <w:rsid w:val="00D34816"/>
    <w:rsid w:val="00D35717"/>
    <w:rsid w:val="00D360A0"/>
    <w:rsid w:val="00D57715"/>
    <w:rsid w:val="00D61072"/>
    <w:rsid w:val="00D628AC"/>
    <w:rsid w:val="00D7145D"/>
    <w:rsid w:val="00D72666"/>
    <w:rsid w:val="00D80D83"/>
    <w:rsid w:val="00D852B8"/>
    <w:rsid w:val="00D92DA5"/>
    <w:rsid w:val="00D93936"/>
    <w:rsid w:val="00D94A19"/>
    <w:rsid w:val="00DA0D35"/>
    <w:rsid w:val="00DA283D"/>
    <w:rsid w:val="00DA4DE2"/>
    <w:rsid w:val="00DB02B1"/>
    <w:rsid w:val="00DB185A"/>
    <w:rsid w:val="00DB41A1"/>
    <w:rsid w:val="00DB4BCD"/>
    <w:rsid w:val="00DB6C8A"/>
    <w:rsid w:val="00DB7FFA"/>
    <w:rsid w:val="00DC3B1C"/>
    <w:rsid w:val="00DC453C"/>
    <w:rsid w:val="00DD7E8C"/>
    <w:rsid w:val="00DE4875"/>
    <w:rsid w:val="00DE749B"/>
    <w:rsid w:val="00DF7279"/>
    <w:rsid w:val="00E02496"/>
    <w:rsid w:val="00E105C2"/>
    <w:rsid w:val="00E134A7"/>
    <w:rsid w:val="00E16A66"/>
    <w:rsid w:val="00E22E07"/>
    <w:rsid w:val="00E3156F"/>
    <w:rsid w:val="00E37123"/>
    <w:rsid w:val="00E4010E"/>
    <w:rsid w:val="00E4010F"/>
    <w:rsid w:val="00E44D47"/>
    <w:rsid w:val="00E54371"/>
    <w:rsid w:val="00E546C6"/>
    <w:rsid w:val="00E62679"/>
    <w:rsid w:val="00E630B5"/>
    <w:rsid w:val="00E66679"/>
    <w:rsid w:val="00E7155D"/>
    <w:rsid w:val="00E7290E"/>
    <w:rsid w:val="00E8138E"/>
    <w:rsid w:val="00E84A0B"/>
    <w:rsid w:val="00E853B2"/>
    <w:rsid w:val="00E855F4"/>
    <w:rsid w:val="00E87E35"/>
    <w:rsid w:val="00E902B4"/>
    <w:rsid w:val="00E91777"/>
    <w:rsid w:val="00E927A3"/>
    <w:rsid w:val="00E937B7"/>
    <w:rsid w:val="00E9665B"/>
    <w:rsid w:val="00EA44C0"/>
    <w:rsid w:val="00EA612F"/>
    <w:rsid w:val="00EB05B2"/>
    <w:rsid w:val="00EB1B6F"/>
    <w:rsid w:val="00EB2BDB"/>
    <w:rsid w:val="00EB3008"/>
    <w:rsid w:val="00EB39D2"/>
    <w:rsid w:val="00EB6472"/>
    <w:rsid w:val="00EB6915"/>
    <w:rsid w:val="00EC1DAB"/>
    <w:rsid w:val="00EC39DF"/>
    <w:rsid w:val="00ED11D6"/>
    <w:rsid w:val="00ED332A"/>
    <w:rsid w:val="00EE25FE"/>
    <w:rsid w:val="00EE2807"/>
    <w:rsid w:val="00EF3671"/>
    <w:rsid w:val="00F01304"/>
    <w:rsid w:val="00F0130A"/>
    <w:rsid w:val="00F02E4B"/>
    <w:rsid w:val="00F03F75"/>
    <w:rsid w:val="00F11320"/>
    <w:rsid w:val="00F14040"/>
    <w:rsid w:val="00F16148"/>
    <w:rsid w:val="00F16620"/>
    <w:rsid w:val="00F21B1D"/>
    <w:rsid w:val="00F2234E"/>
    <w:rsid w:val="00F243F7"/>
    <w:rsid w:val="00F25C86"/>
    <w:rsid w:val="00F268C9"/>
    <w:rsid w:val="00F3044E"/>
    <w:rsid w:val="00F30FDA"/>
    <w:rsid w:val="00F31FEF"/>
    <w:rsid w:val="00F328CE"/>
    <w:rsid w:val="00F33939"/>
    <w:rsid w:val="00F347A1"/>
    <w:rsid w:val="00F3671A"/>
    <w:rsid w:val="00F409A1"/>
    <w:rsid w:val="00F40BE3"/>
    <w:rsid w:val="00F41010"/>
    <w:rsid w:val="00F42690"/>
    <w:rsid w:val="00F4519F"/>
    <w:rsid w:val="00F46B7D"/>
    <w:rsid w:val="00F5531B"/>
    <w:rsid w:val="00F555B9"/>
    <w:rsid w:val="00F609A7"/>
    <w:rsid w:val="00F67522"/>
    <w:rsid w:val="00F67B50"/>
    <w:rsid w:val="00F7425C"/>
    <w:rsid w:val="00F75FEC"/>
    <w:rsid w:val="00F7629A"/>
    <w:rsid w:val="00F77F4D"/>
    <w:rsid w:val="00F8686A"/>
    <w:rsid w:val="00F87F21"/>
    <w:rsid w:val="00F91343"/>
    <w:rsid w:val="00F9342B"/>
    <w:rsid w:val="00F94DDA"/>
    <w:rsid w:val="00F950E7"/>
    <w:rsid w:val="00F979AC"/>
    <w:rsid w:val="00FA2BE5"/>
    <w:rsid w:val="00FA5BC0"/>
    <w:rsid w:val="00FA6089"/>
    <w:rsid w:val="00FB137E"/>
    <w:rsid w:val="00FB65A5"/>
    <w:rsid w:val="00FC112B"/>
    <w:rsid w:val="00FC5A14"/>
    <w:rsid w:val="00FC65C5"/>
    <w:rsid w:val="00FD03B1"/>
    <w:rsid w:val="00FE1828"/>
    <w:rsid w:val="00FE1FEC"/>
    <w:rsid w:val="00FE66F4"/>
    <w:rsid w:val="00FE7735"/>
    <w:rsid w:val="00FE7B6A"/>
    <w:rsid w:val="00FF1908"/>
    <w:rsid w:val="00FF65A9"/>
    <w:rsid w:val="71C926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A23824"/>
  <w15:docId w15:val="{ADB8DCAC-343E-4242-9EE0-3EA8B3C3D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5763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23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3B20"/>
  </w:style>
  <w:style w:type="paragraph" w:styleId="Pidipagina">
    <w:name w:val="footer"/>
    <w:basedOn w:val="Normale"/>
    <w:link w:val="PidipaginaCarattere"/>
    <w:uiPriority w:val="99"/>
    <w:unhideWhenUsed/>
    <w:rsid w:val="00223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3B20"/>
  </w:style>
  <w:style w:type="character" w:styleId="Collegamentoipertestuale">
    <w:name w:val="Hyperlink"/>
    <w:basedOn w:val="Carpredefinitoparagrafo"/>
    <w:unhideWhenUsed/>
    <w:rsid w:val="00223B20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223B20"/>
    <w:rPr>
      <w:i/>
      <w:i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604A3"/>
    <w:rPr>
      <w:color w:val="605E5C"/>
      <w:shd w:val="clear" w:color="auto" w:fill="E1DFDD"/>
    </w:rPr>
  </w:style>
  <w:style w:type="paragraph" w:styleId="Nessunaspaziatura">
    <w:name w:val="No Spacing"/>
    <w:uiPriority w:val="1"/>
    <w:qFormat/>
    <w:rsid w:val="001D25BE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2E5115"/>
    <w:pPr>
      <w:ind w:left="720"/>
      <w:contextualSpacing/>
    </w:p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385962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2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2A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46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5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0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244CFC10160F54F83CE913E67FB939A" ma:contentTypeVersion="11" ma:contentTypeDescription="Creare un nuovo documento." ma:contentTypeScope="" ma:versionID="6cc7a96dda2e389c3e09120b75e232bd">
  <xsd:schema xmlns:xsd="http://www.w3.org/2001/XMLSchema" xmlns:xs="http://www.w3.org/2001/XMLSchema" xmlns:p="http://schemas.microsoft.com/office/2006/metadata/properties" xmlns:ns3="14f18915-dfff-4c06-b216-06ced394df4b" targetNamespace="http://schemas.microsoft.com/office/2006/metadata/properties" ma:root="true" ma:fieldsID="1d41a94ceb35f729bfd175ce919fa2bb" ns3:_="">
    <xsd:import namespace="14f18915-dfff-4c06-b216-06ced394df4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f18915-dfff-4c06-b216-06ced394df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81F960-3BDA-4249-AC12-CF83870EBF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985982-9457-4431-85EB-1EAFEE11CF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f18915-dfff-4c06-b216-06ced394df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0037ED-66D0-41C3-8B12-4FB2471B5B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3306C7-0DD4-42A8-9EF5-3DC5EC49CE4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Stampa</dc:creator>
  <cp:keywords/>
  <dc:description/>
  <cp:lastModifiedBy>Postazione 4</cp:lastModifiedBy>
  <cp:revision>42</cp:revision>
  <cp:lastPrinted>2022-01-14T09:25:00Z</cp:lastPrinted>
  <dcterms:created xsi:type="dcterms:W3CDTF">2024-07-23T06:22:00Z</dcterms:created>
  <dcterms:modified xsi:type="dcterms:W3CDTF">2024-11-12T08:32:00Z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0x0101008244CFC10160F54F83CE913E67FB939A</vt:lpwstr>
  </property>
</Properties>
</file>